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DA" w:rsidRPr="003C34EC" w:rsidRDefault="00A100DA" w:rsidP="00A100DA">
      <w:pPr>
        <w:pStyle w:val="Default"/>
      </w:pPr>
    </w:p>
    <w:p w:rsidR="00A100DA" w:rsidRPr="003C34EC" w:rsidRDefault="00BD3610" w:rsidP="00A100DA">
      <w:pPr>
        <w:pStyle w:val="Default"/>
      </w:pPr>
      <w:r w:rsidRPr="003C34EC">
        <w:rPr>
          <w:lang w:val="uk-UA"/>
        </w:rPr>
        <w:t>РАДА ЄВРОПИ</w:t>
      </w:r>
      <w:r w:rsidR="00A100DA" w:rsidRPr="003C34EC">
        <w:t xml:space="preserve"> </w:t>
      </w:r>
    </w:p>
    <w:p w:rsidR="00A100DA" w:rsidRPr="003C34EC" w:rsidRDefault="00BD3610" w:rsidP="00A100DA">
      <w:pPr>
        <w:pStyle w:val="Default"/>
        <w:rPr>
          <w:lang w:val="uk-UA"/>
        </w:rPr>
      </w:pPr>
      <w:r w:rsidRPr="003C34EC">
        <w:rPr>
          <w:lang w:val="uk-UA"/>
        </w:rPr>
        <w:t>КОМІТЕТ ПРЕДСТАВНИЦТВА МІНІСТРІВ</w:t>
      </w:r>
      <w:r w:rsidR="00A100DA" w:rsidRPr="003C34EC">
        <w:t xml:space="preserve"> </w:t>
      </w:r>
    </w:p>
    <w:p w:rsidR="00571134" w:rsidRPr="003C34EC" w:rsidRDefault="00571134" w:rsidP="00A100DA">
      <w:pPr>
        <w:pStyle w:val="Default"/>
        <w:rPr>
          <w:lang w:val="uk-UA"/>
        </w:rPr>
      </w:pPr>
    </w:p>
    <w:p w:rsidR="00A100DA" w:rsidRPr="003C34EC" w:rsidRDefault="005574A3" w:rsidP="00A100DA">
      <w:pPr>
        <w:pStyle w:val="Default"/>
        <w:rPr>
          <w:lang w:val="uk-UA"/>
        </w:rPr>
      </w:pPr>
      <w:r w:rsidRPr="003C34EC">
        <w:rPr>
          <w:b/>
          <w:bCs/>
          <w:lang w:val="uk-UA"/>
        </w:rPr>
        <w:t>Резолюція CM/</w:t>
      </w:r>
      <w:proofErr w:type="spellStart"/>
      <w:r w:rsidRPr="003C34EC">
        <w:rPr>
          <w:b/>
          <w:bCs/>
          <w:lang w:val="uk-UA"/>
        </w:rPr>
        <w:t>ResCMN</w:t>
      </w:r>
      <w:proofErr w:type="spellEnd"/>
      <w:r w:rsidRPr="003C34EC">
        <w:rPr>
          <w:b/>
          <w:bCs/>
          <w:lang w:val="uk-UA"/>
        </w:rPr>
        <w:t>(2022)8</w:t>
      </w:r>
    </w:p>
    <w:p w:rsidR="00A100DA" w:rsidRPr="003C34EC" w:rsidRDefault="005574A3" w:rsidP="00A100DA">
      <w:pPr>
        <w:pStyle w:val="Default"/>
        <w:rPr>
          <w:b/>
          <w:bCs/>
          <w:lang w:val="uk-UA"/>
        </w:rPr>
      </w:pPr>
      <w:r w:rsidRPr="003C34EC">
        <w:rPr>
          <w:b/>
          <w:bCs/>
          <w:lang w:val="uk-UA"/>
        </w:rPr>
        <w:t>про виконання Словацькою Республікою Рамкової конвенції про захист національних меншин</w:t>
      </w:r>
      <w:r w:rsidR="00A100DA" w:rsidRPr="003C34EC">
        <w:rPr>
          <w:b/>
          <w:bCs/>
          <w:lang w:val="uk-UA"/>
        </w:rPr>
        <w:t xml:space="preserve"> </w:t>
      </w:r>
    </w:p>
    <w:p w:rsidR="00571134" w:rsidRPr="003C34EC" w:rsidRDefault="00571134" w:rsidP="00A100DA">
      <w:pPr>
        <w:pStyle w:val="Default"/>
        <w:rPr>
          <w:lang w:val="uk-UA"/>
        </w:rPr>
      </w:pPr>
    </w:p>
    <w:p w:rsidR="005574A3" w:rsidRPr="003C34EC" w:rsidRDefault="005574A3" w:rsidP="005D4F96">
      <w:pPr>
        <w:pStyle w:val="Default"/>
        <w:jc w:val="both"/>
        <w:rPr>
          <w:i/>
          <w:iCs/>
          <w:lang w:val="uk-UA"/>
        </w:rPr>
      </w:pPr>
      <w:r w:rsidRPr="003C34EC">
        <w:rPr>
          <w:i/>
          <w:iCs/>
          <w:lang w:val="uk-UA"/>
        </w:rPr>
        <w:t>(прийнято Комітетом міністрів Ради Європи 3 листопада 2022 року на 1447-му засіданні Комітету представників міністрів)</w:t>
      </w:r>
    </w:p>
    <w:p w:rsidR="00571134" w:rsidRPr="003C34EC" w:rsidRDefault="00571134" w:rsidP="005D4F96">
      <w:pPr>
        <w:pStyle w:val="Default"/>
        <w:jc w:val="both"/>
        <w:rPr>
          <w:i/>
          <w:iCs/>
          <w:lang w:val="uk-UA"/>
        </w:rPr>
      </w:pPr>
    </w:p>
    <w:p w:rsidR="00A100DA" w:rsidRPr="003C34EC" w:rsidRDefault="005574A3" w:rsidP="005D4F96">
      <w:pPr>
        <w:pStyle w:val="Default"/>
        <w:jc w:val="both"/>
        <w:rPr>
          <w:lang w:val="uk-UA"/>
        </w:rPr>
      </w:pPr>
      <w:r w:rsidRPr="003C34EC">
        <w:rPr>
          <w:lang w:val="uk-UA"/>
        </w:rPr>
        <w:t>Комітет міністрів відповідно до статей 24–26 Рамкової конвенції про захист національних меншин (далі – «Рамкова конвенція»),</w:t>
      </w:r>
      <w:r w:rsidR="00A100DA" w:rsidRPr="003C34EC">
        <w:rPr>
          <w:lang w:val="uk-UA"/>
        </w:rPr>
        <w:t xml:space="preserve"> </w:t>
      </w:r>
    </w:p>
    <w:p w:rsidR="00571134" w:rsidRPr="003C34EC" w:rsidRDefault="00571134" w:rsidP="005D4F96">
      <w:pPr>
        <w:pStyle w:val="Default"/>
        <w:jc w:val="both"/>
        <w:rPr>
          <w:lang w:val="uk-UA"/>
        </w:rPr>
      </w:pPr>
    </w:p>
    <w:p w:rsidR="005574A3" w:rsidRPr="003C34EC" w:rsidRDefault="005574A3" w:rsidP="005D4F96">
      <w:pPr>
        <w:pStyle w:val="Default"/>
        <w:jc w:val="both"/>
        <w:rPr>
          <w:lang w:val="uk-UA"/>
        </w:rPr>
      </w:pPr>
      <w:r w:rsidRPr="003C34EC">
        <w:rPr>
          <w:lang w:val="uk-UA"/>
        </w:rPr>
        <w:t>щодо постанови № CM/</w:t>
      </w:r>
      <w:proofErr w:type="spellStart"/>
      <w:r w:rsidRPr="003C34EC">
        <w:rPr>
          <w:lang w:val="uk-UA"/>
        </w:rPr>
        <w:t>Res</w:t>
      </w:r>
      <w:proofErr w:type="spellEnd"/>
      <w:r w:rsidRPr="003C34EC">
        <w:rPr>
          <w:lang w:val="uk-UA"/>
        </w:rPr>
        <w:t>(2019)49 від 11 грудня 2019 року про переглянуті заходи моніторингу відповідно до статей 24–26 Рамкової конвенції;</w:t>
      </w:r>
    </w:p>
    <w:p w:rsidR="00571134" w:rsidRPr="003C34EC" w:rsidRDefault="00571134" w:rsidP="005D4F96">
      <w:pPr>
        <w:pStyle w:val="Default"/>
        <w:jc w:val="both"/>
        <w:rPr>
          <w:lang w:val="uk-UA"/>
        </w:rPr>
      </w:pPr>
    </w:p>
    <w:p w:rsidR="009838AF" w:rsidRPr="003C34EC" w:rsidRDefault="005574A3" w:rsidP="005D4F96">
      <w:pPr>
        <w:pStyle w:val="Default"/>
        <w:jc w:val="both"/>
        <w:rPr>
          <w:lang w:val="uk-UA"/>
        </w:rPr>
      </w:pPr>
      <w:r w:rsidRPr="003C34EC">
        <w:rPr>
          <w:lang w:val="uk-UA"/>
        </w:rPr>
        <w:t>з урахува</w:t>
      </w:r>
      <w:r w:rsidR="009838AF" w:rsidRPr="003C34EC">
        <w:rPr>
          <w:lang w:val="uk-UA"/>
        </w:rPr>
        <w:t>нням чинних правил голосування;</w:t>
      </w:r>
      <w:r w:rsidR="001D6952" w:rsidRPr="003C34EC">
        <w:rPr>
          <w:rStyle w:val="Odkaznapoznmkupodiarou"/>
          <w:lang w:val="uk-UA"/>
        </w:rPr>
        <w:footnoteReference w:id="1"/>
      </w:r>
    </w:p>
    <w:p w:rsidR="00571134" w:rsidRPr="003C34EC" w:rsidRDefault="00571134" w:rsidP="005D4F96">
      <w:pPr>
        <w:pStyle w:val="Default"/>
        <w:jc w:val="both"/>
        <w:rPr>
          <w:lang w:val="uk-UA"/>
        </w:rPr>
      </w:pPr>
    </w:p>
    <w:p w:rsidR="009838AF" w:rsidRPr="003C34EC" w:rsidRDefault="009838AF" w:rsidP="005D4F96">
      <w:pPr>
        <w:pStyle w:val="Default"/>
        <w:jc w:val="both"/>
        <w:rPr>
          <w:lang w:val="uk-UA"/>
        </w:rPr>
      </w:pPr>
      <w:r w:rsidRPr="003C34EC">
        <w:rPr>
          <w:lang w:val="uk-UA"/>
        </w:rPr>
        <w:t>щодо ратифікаційної грамоти, переданої на зберігання Словацькою Республікою 14 вересня 1995 р.;</w:t>
      </w:r>
    </w:p>
    <w:p w:rsidR="00571134" w:rsidRPr="003C34EC" w:rsidRDefault="00571134" w:rsidP="005D4F96">
      <w:pPr>
        <w:pStyle w:val="Default"/>
        <w:jc w:val="both"/>
        <w:rPr>
          <w:lang w:val="uk-UA"/>
        </w:rPr>
      </w:pPr>
    </w:p>
    <w:p w:rsidR="005574A3" w:rsidRPr="003C34EC" w:rsidRDefault="005574A3" w:rsidP="005D4F96">
      <w:pPr>
        <w:pStyle w:val="Default"/>
        <w:jc w:val="both"/>
        <w:rPr>
          <w:lang w:val="uk-UA"/>
        </w:rPr>
      </w:pPr>
      <w:r w:rsidRPr="003C34EC">
        <w:rPr>
          <w:lang w:val="uk-UA"/>
        </w:rPr>
        <w:t>щодо ратифікаційної грамоти, переданої на зберігання Словаччиною</w:t>
      </w:r>
    </w:p>
    <w:p w:rsidR="009838AF" w:rsidRPr="003C34EC" w:rsidRDefault="009838AF" w:rsidP="005D4F96">
      <w:pPr>
        <w:pStyle w:val="Default"/>
        <w:jc w:val="both"/>
        <w:rPr>
          <w:lang w:val="uk-UA"/>
        </w:rPr>
      </w:pPr>
      <w:r w:rsidRPr="003C34EC">
        <w:rPr>
          <w:lang w:val="uk-UA"/>
        </w:rPr>
        <w:t>нагадуючи, що 31 січня 2019 року Уряд Словацької Республіки подав звіт про виконання п’ятого циклу моніторингу згідно з Рамковою конвенцією;</w:t>
      </w:r>
    </w:p>
    <w:p w:rsidR="00571134" w:rsidRPr="003C34EC" w:rsidRDefault="00571134" w:rsidP="005D4F96">
      <w:pPr>
        <w:pStyle w:val="Default"/>
        <w:jc w:val="both"/>
        <w:rPr>
          <w:lang w:val="uk-UA"/>
        </w:rPr>
      </w:pPr>
    </w:p>
    <w:p w:rsidR="00571134" w:rsidRPr="003C34EC" w:rsidRDefault="00571134" w:rsidP="005D4F96">
      <w:pPr>
        <w:pStyle w:val="Default"/>
        <w:jc w:val="both"/>
        <w:rPr>
          <w:lang w:val="uk-UA"/>
        </w:rPr>
      </w:pPr>
      <w:r w:rsidRPr="003C34EC">
        <w:rPr>
          <w:lang w:val="uk-UA"/>
        </w:rPr>
        <w:t>після розгляду п’ятої думки консультативного комітету щодо Словацької Республіки, прийнятої 2 лютого 2022 р.,</w:t>
      </w:r>
    </w:p>
    <w:p w:rsidR="008D66F8" w:rsidRPr="003C34EC" w:rsidRDefault="008D66F8" w:rsidP="005D4F96">
      <w:pPr>
        <w:pStyle w:val="Default"/>
        <w:jc w:val="both"/>
        <w:rPr>
          <w:lang w:val="uk-UA"/>
        </w:rPr>
      </w:pPr>
    </w:p>
    <w:p w:rsidR="008D66F8" w:rsidRPr="003C34EC" w:rsidRDefault="008D66F8" w:rsidP="005D4F96">
      <w:pPr>
        <w:pStyle w:val="Default"/>
        <w:jc w:val="both"/>
        <w:rPr>
          <w:lang w:val="uk-UA"/>
        </w:rPr>
      </w:pPr>
      <w:r w:rsidRPr="003C34EC">
        <w:rPr>
          <w:lang w:val="uk-UA"/>
        </w:rPr>
        <w:t>ухвалює такі висновки щодо Словацької Республіки:</w:t>
      </w:r>
    </w:p>
    <w:p w:rsidR="008D66F8" w:rsidRPr="003C34EC" w:rsidRDefault="008D66F8" w:rsidP="005D4F96">
      <w:pPr>
        <w:pStyle w:val="Default"/>
        <w:jc w:val="both"/>
        <w:rPr>
          <w:lang w:val="uk-UA"/>
        </w:rPr>
      </w:pPr>
    </w:p>
    <w:p w:rsidR="008D66F8" w:rsidRPr="003C34EC" w:rsidRDefault="008D66F8" w:rsidP="005D4F96">
      <w:pPr>
        <w:pStyle w:val="Default"/>
        <w:jc w:val="both"/>
        <w:rPr>
          <w:lang w:val="uk-UA"/>
        </w:rPr>
      </w:pPr>
      <w:r w:rsidRPr="003C34EC">
        <w:rPr>
          <w:lang w:val="uk-UA"/>
        </w:rPr>
        <w:t>органам влади пропонується взяти до уваги коментарі та рекомендації, висловлені в п’ятому висновку дорадчого комітету. З метою подальшого вдосконалення виконання Рамкової конвенції слід, зокрема, вжити таких заходів:</w:t>
      </w:r>
    </w:p>
    <w:p w:rsidR="001D6952" w:rsidRPr="003C34EC" w:rsidRDefault="001D6952" w:rsidP="005D4F96">
      <w:pPr>
        <w:pStyle w:val="Default"/>
        <w:jc w:val="both"/>
        <w:rPr>
          <w:lang w:val="uk-UA"/>
        </w:rPr>
      </w:pPr>
    </w:p>
    <w:p w:rsidR="001D6952" w:rsidRPr="003C34EC" w:rsidRDefault="001D6952" w:rsidP="005D4F96">
      <w:pPr>
        <w:pStyle w:val="Default"/>
        <w:jc w:val="both"/>
      </w:pPr>
      <w:r w:rsidRPr="003C34EC">
        <w:rPr>
          <w:lang w:val="uk-UA"/>
        </w:rPr>
        <w:t>Рекомендації щодо негайних дій:</w:t>
      </w:r>
    </w:p>
    <w:p w:rsidR="001D6952" w:rsidRPr="003C34EC" w:rsidRDefault="001D6952" w:rsidP="005D4F96">
      <w:pPr>
        <w:pStyle w:val="Default"/>
        <w:jc w:val="both"/>
      </w:pPr>
    </w:p>
    <w:p w:rsidR="001D6952" w:rsidRPr="003C34EC" w:rsidRDefault="001D6952" w:rsidP="005D4F96">
      <w:pPr>
        <w:pStyle w:val="Default"/>
        <w:jc w:val="both"/>
        <w:rPr>
          <w:lang w:val="uk-UA"/>
        </w:rPr>
      </w:pPr>
      <w:r w:rsidRPr="003C34EC">
        <w:t xml:space="preserve">1. </w:t>
      </w:r>
      <w:r w:rsidRPr="003C34EC">
        <w:rPr>
          <w:lang w:val="uk-UA"/>
        </w:rPr>
        <w:t xml:space="preserve">Забезпечити Уповноваженого з прав людини достатніми людськими та фінансовими ресурсами, щоб цей інститут міг ефективно виконувати свої функції, зміцнити незалежність Уповноваженого з прав людини відповідно до міжнародних стандартів, приділяти підвищену увагу рішенням, звітам і питанням Уповноваженого з прав людини, що стосуються національних меншин та вжити своєчасних подальших заходів і розширити повноваження цієї інституції шляхом надання активної участі в судових </w:t>
      </w:r>
      <w:proofErr w:type="spellStart"/>
      <w:r w:rsidRPr="003C34EC">
        <w:rPr>
          <w:lang w:val="uk-UA"/>
        </w:rPr>
        <w:t>розглядах</w:t>
      </w:r>
      <w:proofErr w:type="spellEnd"/>
      <w:r w:rsidRPr="003C34EC">
        <w:rPr>
          <w:lang w:val="uk-UA"/>
        </w:rPr>
        <w:t xml:space="preserve"> і доступу до секретних документів, а також забезпечити доступ громадського захисника прав до прискореного провадження в Конституційному суді. Слід посилити повноваження омбудсмена щодо розслідування випадків ймовірної жорстокості поліції.</w:t>
      </w:r>
    </w:p>
    <w:p w:rsidR="001D6952" w:rsidRPr="003C34EC" w:rsidRDefault="001D6952" w:rsidP="005D4F96">
      <w:pPr>
        <w:pStyle w:val="Default"/>
        <w:jc w:val="both"/>
        <w:rPr>
          <w:lang w:val="uk-UA"/>
        </w:rPr>
      </w:pPr>
    </w:p>
    <w:p w:rsidR="001D6952" w:rsidRPr="003C34EC" w:rsidRDefault="001D6952" w:rsidP="005D4F96">
      <w:pPr>
        <w:pStyle w:val="Default"/>
        <w:jc w:val="both"/>
        <w:rPr>
          <w:lang w:val="uk-UA"/>
        </w:rPr>
      </w:pPr>
      <w:r w:rsidRPr="003C34EC">
        <w:rPr>
          <w:lang w:val="uk-UA"/>
        </w:rPr>
        <w:t xml:space="preserve">2. підвищити ефективність механізму підтримки культури національних меншин, враховуючи при цьому потреби </w:t>
      </w:r>
      <w:proofErr w:type="spellStart"/>
      <w:r w:rsidRPr="003C34EC">
        <w:rPr>
          <w:lang w:val="uk-UA"/>
        </w:rPr>
        <w:t>чисельно</w:t>
      </w:r>
      <w:proofErr w:type="spellEnd"/>
      <w:r w:rsidRPr="003C34EC">
        <w:rPr>
          <w:lang w:val="uk-UA"/>
        </w:rPr>
        <w:t xml:space="preserve"> менших національних меншин та розмаїття всередині самих національних меншин, шляхом спрощення процедур подачі заявок на гранти, забезпечення своєчасного розподілу та виплати коштів і розглядає багаторічне фінансування звичайних проектів меншин.</w:t>
      </w:r>
    </w:p>
    <w:p w:rsidR="001D6952" w:rsidRPr="003C34EC" w:rsidRDefault="001D6952" w:rsidP="005D4F96">
      <w:pPr>
        <w:pStyle w:val="Default"/>
        <w:jc w:val="both"/>
        <w:rPr>
          <w:lang w:val="uk-UA"/>
        </w:rPr>
      </w:pPr>
    </w:p>
    <w:p w:rsidR="001D6952" w:rsidRPr="003C34EC" w:rsidRDefault="001D6952" w:rsidP="005D4F96">
      <w:pPr>
        <w:pStyle w:val="Default"/>
        <w:jc w:val="both"/>
        <w:rPr>
          <w:lang w:val="uk-UA"/>
        </w:rPr>
      </w:pPr>
      <w:r w:rsidRPr="003C34EC">
        <w:rPr>
          <w:lang w:val="uk-UA"/>
        </w:rPr>
        <w:t>3. підтримувати інклюзивну та високоякісну освіту ромських дітей, рішуче та без подальших зволікань усунути сегрегацію в школах і непропорційно високий рівень тестування та діагностики особливих потреб у ромських дітей, щоб уникнути їх включення до програм нижч</w:t>
      </w:r>
      <w:r w:rsidR="003C34EC">
        <w:rPr>
          <w:lang w:val="uk-UA"/>
        </w:rPr>
        <w:t>ого</w:t>
      </w:r>
      <w:r w:rsidRPr="003C34EC">
        <w:rPr>
          <w:lang w:val="uk-UA"/>
        </w:rPr>
        <w:t xml:space="preserve"> стандарт</w:t>
      </w:r>
      <w:r w:rsidR="003C34EC">
        <w:rPr>
          <w:lang w:val="uk-UA"/>
        </w:rPr>
        <w:t>у</w:t>
      </w:r>
      <w:r w:rsidRPr="003C34EC">
        <w:rPr>
          <w:lang w:val="uk-UA"/>
        </w:rPr>
        <w:t xml:space="preserve"> і «спеціальн</w:t>
      </w:r>
      <w:r w:rsidR="003C34EC">
        <w:rPr>
          <w:lang w:val="uk-UA"/>
        </w:rPr>
        <w:t>их</w:t>
      </w:r>
      <w:r w:rsidRPr="003C34EC">
        <w:rPr>
          <w:lang w:val="uk-UA"/>
        </w:rPr>
        <w:t xml:space="preserve"> шк</w:t>
      </w:r>
      <w:r w:rsidR="003C34EC">
        <w:rPr>
          <w:lang w:val="uk-UA"/>
        </w:rPr>
        <w:t>іл</w:t>
      </w:r>
      <w:r w:rsidRPr="003C34EC">
        <w:rPr>
          <w:lang w:val="uk-UA"/>
        </w:rPr>
        <w:t>»</w:t>
      </w:r>
    </w:p>
    <w:p w:rsidR="001D6952" w:rsidRPr="003C34EC" w:rsidRDefault="001D6952" w:rsidP="005D4F96">
      <w:pPr>
        <w:pStyle w:val="Default"/>
        <w:jc w:val="both"/>
        <w:rPr>
          <w:lang w:val="uk-UA"/>
        </w:rPr>
      </w:pPr>
    </w:p>
    <w:p w:rsidR="001D6952" w:rsidRPr="003C34EC" w:rsidRDefault="001D6952" w:rsidP="005D4F96">
      <w:pPr>
        <w:pStyle w:val="Default"/>
        <w:jc w:val="both"/>
        <w:rPr>
          <w:lang w:val="uk-UA"/>
        </w:rPr>
      </w:pPr>
      <w:r w:rsidRPr="003C34EC">
        <w:rPr>
          <w:lang w:val="uk-UA"/>
        </w:rPr>
        <w:t>4. розслідувати випадки примусової стерилізації ромських жінок і негайно виплачувати компенсацію жінкам, які пройшли примусову стерилізацію.</w:t>
      </w:r>
    </w:p>
    <w:p w:rsidR="001D6952" w:rsidRPr="003C34EC" w:rsidRDefault="001D6952" w:rsidP="005D4F96">
      <w:pPr>
        <w:pStyle w:val="Default"/>
        <w:jc w:val="both"/>
        <w:rPr>
          <w:lang w:val="uk-UA"/>
        </w:rPr>
      </w:pPr>
    </w:p>
    <w:p w:rsidR="00971872" w:rsidRPr="003C34EC" w:rsidRDefault="001D6952" w:rsidP="005D4F96">
      <w:pPr>
        <w:pStyle w:val="Default"/>
        <w:jc w:val="both"/>
        <w:rPr>
          <w:lang w:val="uk-UA"/>
        </w:rPr>
      </w:pPr>
      <w:r w:rsidRPr="003C34EC">
        <w:rPr>
          <w:lang w:val="uk-UA"/>
        </w:rPr>
        <w:t>5. здійснювати послідовні та стійкі заходи житлової політики для представників ромської національної меншини відповідно до цілей державної житлової політики та відповідних урядових стратегій, спрямованих, серед іншого, на усунення просторової сегрегації ромських громад. Органи влади мають провести оцінку цих політик і стратегій з точки зору їхнього впливу на житлові умови ромів після консультації з тими, кого це стосується.</w:t>
      </w:r>
    </w:p>
    <w:p w:rsidR="001D6952" w:rsidRPr="003C34EC" w:rsidRDefault="001D6952" w:rsidP="005D4F96">
      <w:pPr>
        <w:pStyle w:val="Default"/>
        <w:jc w:val="both"/>
        <w:rPr>
          <w:lang w:val="uk-UA"/>
        </w:rPr>
      </w:pPr>
    </w:p>
    <w:p w:rsidR="00971872" w:rsidRPr="003C34EC" w:rsidRDefault="00971872" w:rsidP="005D4F96">
      <w:pPr>
        <w:pStyle w:val="Default"/>
        <w:jc w:val="both"/>
        <w:rPr>
          <w:lang w:val="uk-UA"/>
        </w:rPr>
      </w:pPr>
      <w:r w:rsidRPr="003C34EC">
        <w:rPr>
          <w:lang w:val="uk-UA"/>
        </w:rPr>
        <w:t>Інші рекомендації</w:t>
      </w:r>
      <w:r w:rsidRPr="003C34EC">
        <w:rPr>
          <w:rStyle w:val="Odkaznapoznmkupodiarou"/>
          <w:lang w:val="uk-UA"/>
        </w:rPr>
        <w:footnoteReference w:id="2"/>
      </w:r>
      <w:r w:rsidRPr="003C34EC">
        <w:rPr>
          <w:lang w:val="uk-UA"/>
        </w:rPr>
        <w:t>:</w:t>
      </w: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r w:rsidRPr="003C34EC">
        <w:rPr>
          <w:lang w:val="uk-UA"/>
        </w:rPr>
        <w:t xml:space="preserve">6. приділяти першочергову увагу правам меншин як невід’ємній частині прав людини та забезпечувати ефективну, послідовну та сталу </w:t>
      </w:r>
      <w:proofErr w:type="spellStart"/>
      <w:r w:rsidRPr="003C34EC">
        <w:rPr>
          <w:lang w:val="uk-UA"/>
        </w:rPr>
        <w:t>міжінституційну</w:t>
      </w:r>
      <w:proofErr w:type="spellEnd"/>
      <w:r w:rsidRPr="003C34EC">
        <w:rPr>
          <w:lang w:val="uk-UA"/>
        </w:rPr>
        <w:t xml:space="preserve"> координацію та доступ у всіх сферах, пов’язаних з правами членів меншин, у тісній співпраці з представниками національних меншин.</w:t>
      </w: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r w:rsidRPr="003C34EC">
        <w:rPr>
          <w:lang w:val="uk-UA"/>
        </w:rPr>
        <w:t xml:space="preserve">7. активізувати зусилля щодо підвищення обізнаності щодо </w:t>
      </w:r>
      <w:proofErr w:type="spellStart"/>
      <w:r w:rsidRPr="003C34EC">
        <w:rPr>
          <w:lang w:val="uk-UA"/>
        </w:rPr>
        <w:t>антидискримінаційного</w:t>
      </w:r>
      <w:proofErr w:type="spellEnd"/>
      <w:r w:rsidRPr="003C34EC">
        <w:rPr>
          <w:lang w:val="uk-UA"/>
        </w:rPr>
        <w:t xml:space="preserve"> законодавства серед представників національних меншин і груп, які найбільше схильні до дискримінаційного ставлення, а також активізувати зусилля для їх ефективного захисту від дискримінації в усіх сферах життя. У цьому контексті влада має й надалі вдосконалювати систему безоплатної правової допомоги для найбільш незахищених верств населення.</w:t>
      </w: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r w:rsidRPr="003C34EC">
        <w:rPr>
          <w:lang w:val="uk-UA"/>
        </w:rPr>
        <w:t>8. рішуче розглядати та систематично, негайно та публічно засуджувати всі випадки підбурювання до публічного насильства та ненависті, злочинів на ґрунті ненависті та риторики проти меншин у публічному та політичному дискурсі, а також у засобах масової інформації, а також забезпечувати запобігання, ефективне та незалежне розслідування, покарання та відшкодування будь-яких неправомірних дій поліції, а також випадків злочинів на ґрунті ненависті проти представників національних меншин. Необхідно систематично збирати дані про злочини на ґрунті ненависті та статистичну інформацію про зареєстровані випадки та про можливі розслідування ймовірного застосування сили проти представників національних меншин.</w:t>
      </w: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r w:rsidRPr="003C34EC">
        <w:rPr>
          <w:lang w:val="uk-UA"/>
        </w:rPr>
        <w:t xml:space="preserve">9. систематично та ретельно вивчати термінологію, яка використовується для позначення ромів або населених ними місць у політичних документах, законодавстві та </w:t>
      </w:r>
      <w:r w:rsidRPr="003C34EC">
        <w:rPr>
          <w:lang w:val="uk-UA"/>
        </w:rPr>
        <w:lastRenderedPageBreak/>
        <w:t>публічному дискурсі, щоб переконатися, що вона не сприяє подальшій стигматизації осіб, які належать до ромської меншини, і послідовно та публічно засуджувати та карати навмисне використання принизливої ​​термінології в публічних ЗМІ та в політичному дискурсі</w:t>
      </w: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r w:rsidRPr="003C34EC">
        <w:rPr>
          <w:lang w:val="uk-UA"/>
        </w:rPr>
        <w:t xml:space="preserve">10. вжити всіх необхідних заходів для забезпечення практичної та технічної реалізації законодавства про мови меншин, особливо щодо видачі </w:t>
      </w:r>
      <w:proofErr w:type="spellStart"/>
      <w:r w:rsidRPr="003C34EC">
        <w:rPr>
          <w:lang w:val="uk-UA"/>
        </w:rPr>
        <w:t>свідоцтв</w:t>
      </w:r>
      <w:proofErr w:type="spellEnd"/>
      <w:r w:rsidRPr="003C34EC">
        <w:rPr>
          <w:lang w:val="uk-UA"/>
        </w:rPr>
        <w:t xml:space="preserve"> про народження, шлюб і смерть, а також посилити освітні зусилля для забезпечення здатності муніципальних службовців використовувати мови меншин і активно заохочувати використання цих мов у межах можливостей в офіційних контактах з представниками національних меншин.</w:t>
      </w: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r w:rsidRPr="003C34EC">
        <w:rPr>
          <w:lang w:val="uk-UA"/>
        </w:rPr>
        <w:t>11. розробити міжкультурні освітні програми в усіх школах, враховуючи актуальні культурно чутливі питання, передаючи різні точки зору у викладанні історії та підтримуючи критичне мислення, з метою підвищення рівня знань усіх учнів і студентів про внесок національного меншин до суспільства та зменшення виникнення негативних стереотипів. Підручники та навчальні матеріали слід своєчасно оновлювати та розповсюджувати, а також проводити підготовку вчителів, щоб задовольнити потреби вчителів. Зміст освітньої програми міжкультурної освіти має бути створений у співпраці з представниками національних меншин.</w:t>
      </w:r>
    </w:p>
    <w:p w:rsidR="005D4F96" w:rsidRPr="003C34EC" w:rsidRDefault="005D4F96" w:rsidP="005D4F96">
      <w:pPr>
        <w:pStyle w:val="Default"/>
        <w:jc w:val="both"/>
        <w:rPr>
          <w:lang w:val="uk-UA"/>
        </w:rPr>
      </w:pPr>
    </w:p>
    <w:p w:rsidR="005D4F96" w:rsidRPr="003C34EC" w:rsidRDefault="005D4F96" w:rsidP="005D4F96">
      <w:pPr>
        <w:pStyle w:val="Default"/>
        <w:jc w:val="both"/>
        <w:rPr>
          <w:lang w:val="uk-UA"/>
        </w:rPr>
      </w:pPr>
      <w:r w:rsidRPr="003C34EC">
        <w:rPr>
          <w:lang w:val="uk-UA"/>
        </w:rPr>
        <w:t>12. вжити заходів для подальшого розширення відвідування ромськими дітьми дошкільного навчального закладу та, можливо, подовження тривалості обов’язкової дошкільної освіти, а також для подальшого зменшення їх пропусків у школі та передчасного залишення школи між початковою та середньою освітою, провести поглиблене вивчення внутрішн</w:t>
      </w:r>
      <w:r w:rsidR="009D777C">
        <w:rPr>
          <w:lang w:val="uk-UA"/>
        </w:rPr>
        <w:t>іх</w:t>
      </w:r>
      <w:r w:rsidRPr="003C34EC">
        <w:rPr>
          <w:lang w:val="uk-UA"/>
        </w:rPr>
        <w:t xml:space="preserve"> та </w:t>
      </w:r>
      <w:r w:rsidR="009D777C">
        <w:rPr>
          <w:lang w:val="uk-UA"/>
        </w:rPr>
        <w:t xml:space="preserve">зовнішніх причин </w:t>
      </w:r>
      <w:r w:rsidRPr="003C34EC">
        <w:rPr>
          <w:lang w:val="uk-UA"/>
        </w:rPr>
        <w:t>цих явищ із тісним залученням дітей, батьків та помічників вчителів, а також усіх відповідних органів влади на державному та муніципальному рівнях з метою адаптації освітньої політики та заходів.</w:t>
      </w:r>
    </w:p>
    <w:p w:rsidR="005D4F96" w:rsidRPr="003C34EC" w:rsidRDefault="005D4F96" w:rsidP="005D4F96">
      <w:pPr>
        <w:pStyle w:val="Default"/>
        <w:jc w:val="both"/>
        <w:rPr>
          <w:lang w:val="uk-UA"/>
        </w:rPr>
      </w:pPr>
    </w:p>
    <w:p w:rsidR="005D4F96" w:rsidRPr="003C34EC" w:rsidRDefault="005D4F96" w:rsidP="005D4F96">
      <w:pPr>
        <w:pStyle w:val="Default"/>
        <w:jc w:val="both"/>
        <w:rPr>
          <w:lang w:val="uk-UA"/>
        </w:rPr>
      </w:pPr>
      <w:r w:rsidRPr="003C34EC">
        <w:rPr>
          <w:lang w:val="uk-UA"/>
        </w:rPr>
        <w:t>13. розширити пропозицію освіти мовами меншин, особливо русинською та українською мовами в місцевостях, де проживають ці меншини, і таким чином забезпечити місцеву безперервність від дошкільної до середньої освіти, а також у співпраці з представниками ромської меншини оцінити можливості підвищення інтересу до викладання ромської мови та подальшого розширення її пропозиції викладання у звичайних дошкільних, початкових та середніх навчальних закладах.</w:t>
      </w:r>
    </w:p>
    <w:p w:rsidR="005D4F96" w:rsidRPr="003C34EC" w:rsidRDefault="005D4F96" w:rsidP="005D4F96">
      <w:pPr>
        <w:pStyle w:val="Default"/>
        <w:jc w:val="both"/>
        <w:rPr>
          <w:lang w:val="uk-UA"/>
        </w:rPr>
      </w:pPr>
    </w:p>
    <w:p w:rsidR="005D4F96" w:rsidRPr="003C34EC" w:rsidRDefault="005D4F96" w:rsidP="005D4F96">
      <w:pPr>
        <w:pStyle w:val="Default"/>
        <w:jc w:val="both"/>
        <w:rPr>
          <w:lang w:val="uk-UA"/>
        </w:rPr>
      </w:pPr>
      <w:r w:rsidRPr="003C34EC">
        <w:rPr>
          <w:lang w:val="uk-UA"/>
        </w:rPr>
        <w:t>14. підвищити рівень ефективності механізму консультацій з обраними представниками національних меншин. Будь-який законодавчий процес, який може вплинути на статус і права національних меншин, повинен надавати цим представникам можливість значного впливу для досягнення ефективної участі та спільної відповідальності за рішення. У рамках цих консультацій має бути посилено координацію між усіма національними установами, представниками національних меншин та іншими зацікавленими сторонами. Імплементація відповідного законодавства повинна контролюватися та оцінюватись у тісній співпраці з представниками національних меншин, яких вони стосуються.</w:t>
      </w:r>
    </w:p>
    <w:p w:rsidR="005D4F96" w:rsidRPr="003C34EC" w:rsidRDefault="005D4F96" w:rsidP="005D4F96">
      <w:pPr>
        <w:pStyle w:val="Default"/>
        <w:jc w:val="both"/>
        <w:rPr>
          <w:lang w:val="uk-UA"/>
        </w:rPr>
      </w:pPr>
    </w:p>
    <w:p w:rsidR="005D4F96" w:rsidRPr="003C34EC" w:rsidRDefault="005D4F96" w:rsidP="005D4F96">
      <w:pPr>
        <w:pStyle w:val="Default"/>
        <w:jc w:val="both"/>
        <w:rPr>
          <w:lang w:val="uk-UA"/>
        </w:rPr>
      </w:pPr>
      <w:r w:rsidRPr="003C34EC">
        <w:rPr>
          <w:lang w:val="uk-UA"/>
        </w:rPr>
        <w:t xml:space="preserve">15. забезпечити повне виконання Закону про використання мов національних меншин на практиці щодо спілкування з персоналом закладів охорони здоров’я, правоохоронних органів і закладів соціальних служб, а також служб екстреної допомоги, а також забезпечити виконання будь-яких рішень щодо реструктуризації </w:t>
      </w:r>
      <w:r w:rsidRPr="003C34EC">
        <w:rPr>
          <w:lang w:val="uk-UA"/>
        </w:rPr>
        <w:lastRenderedPageBreak/>
        <w:t xml:space="preserve">лікарень не має надмірно негативного впливу на доступ </w:t>
      </w:r>
      <w:r w:rsidR="00FF5CF7">
        <w:rPr>
          <w:lang w:val="uk-UA"/>
        </w:rPr>
        <w:t>предс</w:t>
      </w:r>
      <w:bookmarkStart w:id="0" w:name="_GoBack"/>
      <w:bookmarkEnd w:id="0"/>
      <w:r w:rsidR="00FF5CF7">
        <w:rPr>
          <w:lang w:val="uk-UA"/>
        </w:rPr>
        <w:t>тавників</w:t>
      </w:r>
      <w:r w:rsidRPr="003C34EC">
        <w:rPr>
          <w:lang w:val="uk-UA"/>
        </w:rPr>
        <w:t xml:space="preserve"> національних меншин до права на медичне обслуговування.</w:t>
      </w: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p>
    <w:p w:rsidR="00971872" w:rsidRPr="003C34EC" w:rsidRDefault="00971872" w:rsidP="005D4F96">
      <w:pPr>
        <w:pStyle w:val="Default"/>
        <w:jc w:val="both"/>
        <w:rPr>
          <w:lang w:val="uk-UA"/>
        </w:rPr>
      </w:pPr>
    </w:p>
    <w:sectPr w:rsidR="00971872" w:rsidRPr="003C34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F5" w:rsidRDefault="00555DF5" w:rsidP="001D6952">
      <w:pPr>
        <w:spacing w:after="0" w:line="240" w:lineRule="auto"/>
      </w:pPr>
      <w:r>
        <w:separator/>
      </w:r>
    </w:p>
  </w:endnote>
  <w:endnote w:type="continuationSeparator" w:id="0">
    <w:p w:rsidR="00555DF5" w:rsidRDefault="00555DF5" w:rsidP="001D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F5" w:rsidRDefault="00555DF5" w:rsidP="001D6952">
      <w:pPr>
        <w:spacing w:after="0" w:line="240" w:lineRule="auto"/>
      </w:pPr>
      <w:r>
        <w:separator/>
      </w:r>
    </w:p>
  </w:footnote>
  <w:footnote w:type="continuationSeparator" w:id="0">
    <w:p w:rsidR="00555DF5" w:rsidRDefault="00555DF5" w:rsidP="001D6952">
      <w:pPr>
        <w:spacing w:after="0" w:line="240" w:lineRule="auto"/>
      </w:pPr>
      <w:r>
        <w:continuationSeparator/>
      </w:r>
    </w:p>
  </w:footnote>
  <w:footnote w:id="1">
    <w:p w:rsidR="001D6952" w:rsidRPr="003C34EC" w:rsidRDefault="001D6952">
      <w:pPr>
        <w:pStyle w:val="Textpoznmkypodiarou"/>
        <w:rPr>
          <w:rFonts w:ascii="Times New Roman" w:hAnsi="Times New Roman" w:cs="Times New Roman"/>
          <w:lang w:val="uk-UA"/>
        </w:rPr>
      </w:pPr>
      <w:r w:rsidRPr="003C34EC">
        <w:rPr>
          <w:rStyle w:val="Odkaznapoznmkupodiarou"/>
          <w:rFonts w:ascii="Times New Roman" w:hAnsi="Times New Roman" w:cs="Times New Roman"/>
          <w:lang w:val="uk-UA"/>
        </w:rPr>
        <w:footnoteRef/>
      </w:r>
      <w:r w:rsidRPr="003C34EC">
        <w:rPr>
          <w:rFonts w:ascii="Times New Roman" w:hAnsi="Times New Roman" w:cs="Times New Roman"/>
          <w:lang w:val="uk-UA"/>
        </w:rPr>
        <w:t xml:space="preserve"> 17 вересня 1997 року Комітет Міністрів прийняв Рішення №. CM/</w:t>
      </w:r>
      <w:proofErr w:type="spellStart"/>
      <w:r w:rsidRPr="003C34EC">
        <w:rPr>
          <w:rFonts w:ascii="Times New Roman" w:hAnsi="Times New Roman" w:cs="Times New Roman"/>
          <w:lang w:val="uk-UA"/>
        </w:rPr>
        <w:t>Del</w:t>
      </w:r>
      <w:proofErr w:type="spellEnd"/>
      <w:r w:rsidRPr="003C34EC">
        <w:rPr>
          <w:rFonts w:ascii="Times New Roman" w:hAnsi="Times New Roman" w:cs="Times New Roman"/>
          <w:lang w:val="uk-UA"/>
        </w:rPr>
        <w:t>/</w:t>
      </w:r>
      <w:proofErr w:type="spellStart"/>
      <w:r w:rsidRPr="003C34EC">
        <w:rPr>
          <w:rFonts w:ascii="Times New Roman" w:hAnsi="Times New Roman" w:cs="Times New Roman"/>
          <w:lang w:val="uk-UA"/>
        </w:rPr>
        <w:t>Dec</w:t>
      </w:r>
      <w:proofErr w:type="spellEnd"/>
      <w:r w:rsidRPr="003C34EC">
        <w:rPr>
          <w:rFonts w:ascii="Times New Roman" w:hAnsi="Times New Roman" w:cs="Times New Roman"/>
          <w:lang w:val="uk-UA"/>
        </w:rPr>
        <w:t>(97)601/4.5, де зазначено: «Рішення згідно зі статтями 24.1 і 25.2 Рамкової конвенції вважаються прийнятими, якщо вони ухвалені двома третинами представників Договірних сторін, включаючи більшість представників Договірних сторін, делегованих як члени Комітету міністрів».</w:t>
      </w:r>
    </w:p>
  </w:footnote>
  <w:footnote w:id="2">
    <w:p w:rsidR="00971872" w:rsidRPr="009D777C" w:rsidRDefault="00971872">
      <w:pPr>
        <w:pStyle w:val="Textpoznmkypodiarou"/>
        <w:rPr>
          <w:rFonts w:ascii="Times New Roman" w:hAnsi="Times New Roman" w:cs="Times New Roman"/>
          <w:lang w:val="uk-UA"/>
        </w:rPr>
      </w:pPr>
      <w:r w:rsidRPr="009D777C">
        <w:rPr>
          <w:rStyle w:val="Odkaznapoznmkupodiarou"/>
          <w:rFonts w:ascii="Times New Roman" w:hAnsi="Times New Roman" w:cs="Times New Roman"/>
          <w:lang w:val="uk-UA"/>
        </w:rPr>
        <w:footnoteRef/>
      </w:r>
      <w:r w:rsidRPr="009D777C">
        <w:rPr>
          <w:rFonts w:ascii="Times New Roman" w:hAnsi="Times New Roman" w:cs="Times New Roman"/>
          <w:lang w:val="uk-UA"/>
        </w:rPr>
        <w:t xml:space="preserve"> </w:t>
      </w:r>
      <w:r w:rsidRPr="009D777C">
        <w:rPr>
          <w:rFonts w:ascii="Times New Roman" w:hAnsi="Times New Roman" w:cs="Times New Roman"/>
          <w:lang w:val="uk-UA"/>
        </w:rPr>
        <w:t>Рекомендації, наведені нижче, перераховані відповідно до відповідних статей Рамкової конвенції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DA"/>
    <w:rsid w:val="001D6952"/>
    <w:rsid w:val="00291F09"/>
    <w:rsid w:val="002A7336"/>
    <w:rsid w:val="003C34EC"/>
    <w:rsid w:val="004F3AC4"/>
    <w:rsid w:val="00555DF5"/>
    <w:rsid w:val="005574A3"/>
    <w:rsid w:val="00571134"/>
    <w:rsid w:val="005D4F96"/>
    <w:rsid w:val="00812801"/>
    <w:rsid w:val="008167AA"/>
    <w:rsid w:val="008D66F8"/>
    <w:rsid w:val="00910428"/>
    <w:rsid w:val="00971872"/>
    <w:rsid w:val="00980AC1"/>
    <w:rsid w:val="009838AF"/>
    <w:rsid w:val="009D777C"/>
    <w:rsid w:val="00A100DA"/>
    <w:rsid w:val="00BD3610"/>
    <w:rsid w:val="00FF5C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100DA"/>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1D695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D6952"/>
    <w:rPr>
      <w:sz w:val="20"/>
      <w:szCs w:val="20"/>
    </w:rPr>
  </w:style>
  <w:style w:type="character" w:styleId="Odkaznapoznmkupodiarou">
    <w:name w:val="footnote reference"/>
    <w:basedOn w:val="Predvolenpsmoodseku"/>
    <w:uiPriority w:val="99"/>
    <w:semiHidden/>
    <w:unhideWhenUsed/>
    <w:rsid w:val="001D69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100DA"/>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1D695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D6952"/>
    <w:rPr>
      <w:sz w:val="20"/>
      <w:szCs w:val="20"/>
    </w:rPr>
  </w:style>
  <w:style w:type="character" w:styleId="Odkaznapoznmkupodiarou">
    <w:name w:val="footnote reference"/>
    <w:basedOn w:val="Predvolenpsmoodseku"/>
    <w:uiPriority w:val="99"/>
    <w:semiHidden/>
    <w:unhideWhenUsed/>
    <w:rsid w:val="001D6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0D8D-B22D-496F-B003-00AE947D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7190</Characters>
  <Application>Microsoft Office Word</Application>
  <DocSecurity>0</DocSecurity>
  <Lines>149</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MF</cp:lastModifiedBy>
  <cp:revision>2</cp:revision>
  <dcterms:created xsi:type="dcterms:W3CDTF">2023-08-21T17:46:00Z</dcterms:created>
  <dcterms:modified xsi:type="dcterms:W3CDTF">2023-08-21T17:46:00Z</dcterms:modified>
</cp:coreProperties>
</file>